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FFFFFF" w:themeFill="background1"/>
        <w:jc w:val="center"/>
        <w:rPr>
          <w:rFonts w:hint="default"/>
          <w:b/>
          <w:bCs/>
          <w:color w:val="00B050"/>
          <w:sz w:val="28"/>
          <w:szCs w:val="28"/>
          <w:lang w:val="sr-Cyrl-RS"/>
        </w:rPr>
      </w:pPr>
      <w:r>
        <w:rPr>
          <w:rFonts w:hint="default"/>
          <w:b/>
          <w:bCs/>
          <w:color w:val="00B050"/>
          <w:sz w:val="28"/>
          <w:szCs w:val="28"/>
          <w:lang w:val="sr-Cyrl-RS"/>
        </w:rPr>
        <w:t>ПОСТИГНУЋА УЧЕНИКА</w:t>
      </w:r>
      <w:r>
        <w:rPr>
          <w:b/>
          <w:bCs/>
          <w:color w:val="00B050"/>
          <w:sz w:val="28"/>
          <w:szCs w:val="28"/>
        </w:rPr>
        <w:t xml:space="preserve"> </w:t>
      </w:r>
      <w:r>
        <w:rPr>
          <w:b/>
          <w:bCs/>
          <w:color w:val="00B050"/>
          <w:sz w:val="28"/>
          <w:szCs w:val="28"/>
          <w:lang w:val="sr-Cyrl-RS"/>
        </w:rPr>
        <w:t>НА</w:t>
      </w:r>
      <w:r>
        <w:rPr>
          <w:b/>
          <w:bCs/>
          <w:color w:val="00B050"/>
          <w:sz w:val="28"/>
          <w:szCs w:val="28"/>
        </w:rPr>
        <w:t xml:space="preserve"> ЗАВРШНО</w:t>
      </w:r>
      <w:r>
        <w:rPr>
          <w:b/>
          <w:bCs/>
          <w:color w:val="00B050"/>
          <w:sz w:val="28"/>
          <w:szCs w:val="28"/>
          <w:lang w:val="sr-Cyrl-RS"/>
        </w:rPr>
        <w:t>М</w:t>
      </w:r>
      <w:r>
        <w:rPr>
          <w:b/>
          <w:bCs/>
          <w:color w:val="00B050"/>
          <w:sz w:val="28"/>
          <w:szCs w:val="28"/>
        </w:rPr>
        <w:t xml:space="preserve"> ИСПИТ</w:t>
      </w:r>
      <w:r>
        <w:rPr>
          <w:b/>
          <w:bCs/>
          <w:color w:val="00B050"/>
          <w:sz w:val="28"/>
          <w:szCs w:val="28"/>
          <w:lang w:val="sr-Cyrl-RS"/>
        </w:rPr>
        <w:t>У</w:t>
      </w:r>
      <w:r>
        <w:rPr>
          <w:b/>
          <w:bCs/>
          <w:color w:val="00B050"/>
          <w:sz w:val="28"/>
          <w:szCs w:val="28"/>
        </w:rPr>
        <w:t xml:space="preserve"> </w:t>
      </w:r>
      <w:bookmarkStart w:id="0" w:name="_GoBack"/>
      <w:bookmarkEnd w:id="0"/>
    </w:p>
    <w:p>
      <w:pPr>
        <w:shd w:val="clear" w:fill="FFFFFF" w:themeFill="background1"/>
        <w:jc w:val="center"/>
        <w:rPr>
          <w:sz w:val="22"/>
          <w:szCs w:val="22"/>
        </w:rPr>
      </w:pPr>
    </w:p>
    <w:tbl>
      <w:tblPr>
        <w:tblStyle w:val="4"/>
        <w:tblW w:w="1461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3601"/>
        <w:gridCol w:w="3264"/>
        <w:gridCol w:w="1861"/>
        <w:gridCol w:w="4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Назив предмета</w:t>
            </w:r>
          </w:p>
        </w:tc>
        <w:tc>
          <w:tcPr>
            <w:tcW w:w="3601" w:type="dxa"/>
            <w:shd w:val="clear" w:color="auto" w:fill="FFFFFF" w:themeFill="background1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Резултати ученика на завршном испиту по нивоима постигнућ</w:t>
            </w:r>
            <w:r>
              <w:rPr>
                <w:b/>
                <w:bCs/>
                <w:color w:val="00B050"/>
                <w:sz w:val="22"/>
                <w:szCs w:val="22"/>
                <w:lang w:val="sr-Cyrl-RS"/>
              </w:rPr>
              <w:t>а</w:t>
            </w:r>
            <w:r>
              <w:rPr>
                <w:rFonts w:hint="default"/>
                <w:b/>
                <w:bCs/>
                <w:color w:val="00B050"/>
                <w:sz w:val="22"/>
                <w:szCs w:val="22"/>
                <w:lang w:val="sr-Cyrl-RS"/>
              </w:rPr>
              <w:t xml:space="preserve"> </w:t>
            </w:r>
            <w:r>
              <w:rPr>
                <w:b/>
                <w:bCs/>
                <w:color w:val="00B050"/>
                <w:sz w:val="22"/>
                <w:szCs w:val="22"/>
              </w:rPr>
              <w:t>ученика</w:t>
            </w:r>
          </w:p>
        </w:tc>
        <w:tc>
          <w:tcPr>
            <w:tcW w:w="3264" w:type="dxa"/>
            <w:shd w:val="clear" w:color="auto" w:fill="FFFFFF" w:themeFill="background1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Начин остваривања активности</w:t>
            </w:r>
          </w:p>
        </w:tc>
        <w:tc>
          <w:tcPr>
            <w:tcW w:w="1861" w:type="dxa"/>
            <w:shd w:val="clear" w:color="auto" w:fill="FFFFFF" w:themeFill="background1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Време реализације</w:t>
            </w:r>
          </w:p>
        </w:tc>
        <w:tc>
          <w:tcPr>
            <w:tcW w:w="4525" w:type="dxa"/>
            <w:shd w:val="clear" w:color="auto" w:fill="FFFFFF" w:themeFill="background1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Исход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Српски језик</w:t>
            </w:r>
          </w:p>
        </w:tc>
        <w:tc>
          <w:tcPr>
            <w:tcW w:w="360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Вештина читања и разумевање прочитаног  (СЈ 3.1.3.) 33У.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Граматика, лексика, народни и књиж</w:t>
            </w:r>
            <w:r>
              <w:rPr>
                <w:sz w:val="22"/>
                <w:szCs w:val="22"/>
                <w:lang w:val="sr-Cyrl-RS"/>
              </w:rPr>
              <w:t>е</w:t>
            </w:r>
            <w:r>
              <w:rPr>
                <w:sz w:val="22"/>
                <w:szCs w:val="22"/>
              </w:rPr>
              <w:t>вни језик ( СЈ. 2.3.5.) 33У.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Граматика, лексика, народни и књижевни језик ( СЈ. 3.3.5) 0%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Књижевност (СЈ 3.4.6.) 33%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Помагање ученицима да лакше усвоје знања, да изводи закључке засноване на сложенијем  тексту 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Препозна подврсте синтаксичких јединица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Тумачи елементе књижевног дела.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Издваја из текста аргументе у прилог некој тези (ставу) или аргументе против ње; Изводи закључке засноване на сложенијем тексту. 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Препознаје подврсте синтаксичких јединица (врсте синтагми, независних и зависних предикативних реченица)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Познаје и именује подврсте синтаксичких јединица ( врсте синтагме) независних и зависних предикатских реченица.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Тумачи различите елементе књижевног дела позивајући се на само дело.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360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Бројеви и операције са њима 0%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2.1.2.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11.Бројеви и операције са њима 33%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2.1.4.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Алгебра и функције 0% 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 2.2.1.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Геометрија 0%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 2.3.2.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Бројеви и операције са њима 0%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3.1.1.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 Алгебра и функције 0% 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3.2.3.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Геометрија 0%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3.3.4.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Мерење 33%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МА. 3.4.1.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 наставника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Мотивисање ученика за учење предмета, демонстрација слика из презентација и модела, вођење и усмеравање тока часа, наставник инструкцијама усмерава ученике који самостално истражују, структуришу чињенице и доносе закључке, оцењивање.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Активности ученика: слушање, а</w:t>
            </w:r>
            <w:r>
              <w:rPr>
                <w:sz w:val="22"/>
                <w:szCs w:val="22"/>
                <w:lang w:val="sr-Cyrl-RS"/>
              </w:rPr>
              <w:t>к</w:t>
            </w:r>
            <w:r>
              <w:rPr>
                <w:sz w:val="22"/>
                <w:szCs w:val="22"/>
              </w:rPr>
              <w:t>тивно укључивање у дискусију, повезивање са пре</w:t>
            </w:r>
            <w:r>
              <w:rPr>
                <w:sz w:val="22"/>
                <w:szCs w:val="22"/>
                <w:lang w:val="sr-Cyrl-RS"/>
              </w:rPr>
              <w:t>т</w:t>
            </w:r>
            <w:r>
              <w:rPr>
                <w:sz w:val="22"/>
                <w:szCs w:val="22"/>
              </w:rPr>
              <w:t>ходно стеченим знањем, извођење закључака.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Одреди супротан број, реципрочну вредност и апсолутну вредност броја, израчуна вредност једноставнијег израза.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Користи бројеве и бројевне изразе у једноставнијим рачунарским ситуацијама.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Реши линеране једначине и системе линераних једначина са две непознате.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Одреди величину углова у троуглу, решава задатке користећи Питагорину теорему.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Одреди вредност сложенијег бројевног израза.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Увежбано трансформише алгебарске изразе и своди их на најједноставнији облик.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И</w:t>
            </w:r>
            <w:r>
              <w:rPr>
                <w:sz w:val="22"/>
                <w:szCs w:val="22"/>
              </w:rPr>
              <w:t>зрачуна P и V  пирамиде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потреби претвара јединице мере, рачунајући са њима.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Историја </w:t>
            </w:r>
          </w:p>
        </w:tc>
        <w:tc>
          <w:tcPr>
            <w:tcW w:w="3601" w:type="dxa"/>
          </w:tcPr>
          <w:p>
            <w:pPr>
              <w:pStyle w:val="5"/>
              <w:widowControl w:val="0"/>
              <w:numPr>
                <w:ilvl w:val="0"/>
                <w:numId w:val="0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  <w:r>
              <w:t>Историјско знање</w:t>
            </w:r>
          </w:p>
          <w:p>
            <w:pPr>
              <w:pStyle w:val="5"/>
              <w:widowControl w:val="0"/>
              <w:shd w:val="clear" w:fill="FFFFFF" w:themeFill="background1"/>
              <w:autoSpaceDE w:val="0"/>
              <w:autoSpaceDN w:val="0"/>
              <w:adjustRightInd w:val="0"/>
              <w:ind w:left="0" w:leftChars="0" w:firstLine="0" w:firstLineChars="0"/>
              <w:jc w:val="both"/>
            </w:pPr>
            <w:r>
              <w:t>ИЦ. 3.1.3.</w:t>
            </w:r>
            <w:r>
              <w:rPr>
                <w:rFonts w:hint="default"/>
                <w:lang w:val="sr-Cyrl-RS"/>
              </w:rPr>
              <w:t xml:space="preserve"> - </w:t>
            </w:r>
            <w:r>
              <w:t>2о 33%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Помогне ученицима да лакше усвоје знања о специфичним детаљима из опште историје.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 специфичне детаље из опште историје.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6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Биологија</w:t>
            </w:r>
          </w:p>
        </w:tc>
        <w:tc>
          <w:tcPr>
            <w:tcW w:w="360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Јединство грађе и функ. као основа: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Особина живих бића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БИ.3.1.1.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питања 0%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Помогне ученицима да лакше усвоје знања о јединству грађе живих бића.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Групише жива бића према њиховим заједничким особинама.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Одабира макро-морфолошки видљиве особине важне за класификацију живих бића.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Географија</w:t>
            </w:r>
          </w:p>
        </w:tc>
        <w:tc>
          <w:tcPr>
            <w:tcW w:w="360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 3 ученика која су имала 4 задатка из географије, 3 задатка су урађена 100% док 4. задатак је урађен 67%.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Задатак који је урађен 67% спада у напредан ниво. 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Кроз редовне и часове допунске наставе унапредити и разложити садржаје из дате области, прилагодити потребама сваког ученика како би се резултати из ове области са овог нивоа унапредили.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 ученици унапреде своја знања из ове области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 3.4.1.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3601" w:type="dxa"/>
          </w:tcPr>
          <w:p>
            <w:pPr>
              <w:pStyle w:val="5"/>
              <w:widowControl w:val="0"/>
              <w:numPr>
                <w:ilvl w:val="0"/>
                <w:numId w:val="0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</w:p>
          <w:p>
            <w:pPr>
              <w:pStyle w:val="5"/>
              <w:widowControl w:val="0"/>
              <w:numPr>
                <w:ilvl w:val="0"/>
                <w:numId w:val="0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  <w:r>
              <w:t xml:space="preserve">Мерење </w:t>
            </w:r>
          </w:p>
          <w:p>
            <w:pPr>
              <w:pStyle w:val="5"/>
              <w:widowControl w:val="0"/>
              <w:shd w:val="clear" w:fill="FFFFFF" w:themeFill="background1"/>
              <w:autoSpaceDE w:val="0"/>
              <w:autoSpaceDN w:val="0"/>
              <w:adjustRightInd w:val="0"/>
              <w:ind w:left="0" w:leftChars="0" w:firstLine="0" w:firstLineChars="0"/>
              <w:jc w:val="left"/>
            </w:pPr>
            <w:r>
              <w:t>ФИ. 1.4.1</w:t>
            </w:r>
            <w:r>
              <w:rPr>
                <w:rFonts w:hint="default"/>
                <w:lang w:val="sr-Cyrl-RS"/>
              </w:rPr>
              <w:t xml:space="preserve"> - </w:t>
            </w:r>
            <w:r>
              <w:t>2. 33%</w:t>
            </w:r>
          </w:p>
          <w:p>
            <w:pPr>
              <w:pStyle w:val="5"/>
              <w:widowControl w:val="0"/>
              <w:shd w:val="clear" w:fill="FFFFFF" w:themeFill="background1"/>
              <w:autoSpaceDE w:val="0"/>
              <w:autoSpaceDN w:val="0"/>
              <w:adjustRightInd w:val="0"/>
              <w:ind w:left="0" w:leftChars="0" w:firstLine="0" w:firstLineChars="0"/>
              <w:jc w:val="left"/>
            </w:pPr>
          </w:p>
          <w:p>
            <w:pPr>
              <w:pStyle w:val="5"/>
              <w:widowControl w:val="0"/>
              <w:numPr>
                <w:ilvl w:val="0"/>
                <w:numId w:val="0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  <w:r>
              <w:t>Крерање</w:t>
            </w:r>
          </w:p>
          <w:p>
            <w:pPr>
              <w:pStyle w:val="5"/>
              <w:widowControl w:val="0"/>
              <w:shd w:val="clear" w:fill="FFFFFF" w:themeFill="background1"/>
              <w:autoSpaceDE w:val="0"/>
              <w:autoSpaceDN w:val="0"/>
              <w:adjustRightInd w:val="0"/>
              <w:ind w:left="0" w:leftChars="0" w:firstLine="0" w:firstLineChars="0"/>
              <w:jc w:val="left"/>
            </w:pPr>
            <w:r>
              <w:t>ФИ. 3.2.1</w:t>
            </w:r>
            <w:r>
              <w:rPr>
                <w:rFonts w:hint="default"/>
                <w:lang w:val="sr-Cyrl-RS"/>
              </w:rPr>
              <w:t xml:space="preserve"> - </w:t>
            </w:r>
            <w:r>
              <w:t>4. 33%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Ученицима помоћи да користе мерила и мерне инструменте )за дужину и време), да користе основне јединице за дужину и време.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Ученицима помоћи да усвоје и репродукују појмове код равно</w:t>
            </w:r>
            <w:r>
              <w:rPr>
                <w:sz w:val="22"/>
                <w:szCs w:val="22"/>
                <w:lang w:val="sr-Cyrl-RS"/>
              </w:rPr>
              <w:t>п</w:t>
            </w:r>
            <w:r>
              <w:rPr>
                <w:sz w:val="22"/>
                <w:szCs w:val="22"/>
              </w:rPr>
              <w:t>времено променљивог кретања, препознају успорено тј убрзано кретање и решавање једноставних рачунских задатака.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pStyle w:val="5"/>
              <w:widowControl w:val="0"/>
              <w:numPr>
                <w:ilvl w:val="0"/>
                <w:numId w:val="1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  <w:r>
              <w:t>Ученик треба да зна да чита мерну скалу и зна да одреди вредност најмањег подеока.</w:t>
            </w:r>
          </w:p>
          <w:p>
            <w:pPr>
              <w:pStyle w:val="5"/>
              <w:widowControl w:val="0"/>
              <w:numPr>
                <w:ilvl w:val="0"/>
                <w:numId w:val="1"/>
              </w:numPr>
              <w:shd w:val="clear" w:fill="FFFFFF" w:themeFill="background1"/>
              <w:autoSpaceDE w:val="0"/>
              <w:autoSpaceDN w:val="0"/>
              <w:adjustRightInd w:val="0"/>
              <w:jc w:val="left"/>
            </w:pPr>
            <w:r>
              <w:t>Ученика уме да примени односе између физичких величина које описују равномерно променљиво праволинијско кретање.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359" w:type="dxa"/>
            <w:shd w:val="clear" w:color="auto" w:fill="92D050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Хемија</w:t>
            </w:r>
          </w:p>
        </w:tc>
        <w:tc>
          <w:tcPr>
            <w:tcW w:w="360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Општа хемија 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ХЕ. 1.1.2.</w:t>
            </w:r>
          </w:p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7. 67%</w:t>
            </w:r>
          </w:p>
        </w:tc>
        <w:tc>
          <w:tcPr>
            <w:tcW w:w="3264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Ученицима помоћи да познавајући атомски и масени број одређују број елементарних честица у атому.</w:t>
            </w:r>
          </w:p>
        </w:tc>
        <w:tc>
          <w:tcPr>
            <w:tcW w:w="1861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току школске године</w:t>
            </w:r>
          </w:p>
        </w:tc>
        <w:tc>
          <w:tcPr>
            <w:tcW w:w="4525" w:type="dxa"/>
          </w:tcPr>
          <w:p>
            <w:pPr>
              <w:widowControl w:val="0"/>
              <w:shd w:val="clear" w:fill="FFFFFF" w:themeFill="background1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Повезује физичка и хемијска својства супстанци из свакодневног живота и струке са структуром: честицама које граде супстанце (атоми елемената, молекули  елемената, о</w:t>
            </w:r>
            <w:r>
              <w:rPr>
                <w:sz w:val="22"/>
                <w:szCs w:val="22"/>
                <w:lang w:val="sr-Cyrl-RS"/>
              </w:rPr>
              <w:t>ч</w:t>
            </w:r>
            <w:r>
              <w:rPr>
                <w:sz w:val="22"/>
                <w:szCs w:val="22"/>
              </w:rPr>
              <w:t>еку</w:t>
            </w:r>
            <w:r>
              <w:rPr>
                <w:sz w:val="22"/>
                <w:szCs w:val="22"/>
                <w:lang w:val="sr-Cyrl-RS"/>
              </w:rPr>
              <w:t>је</w:t>
            </w:r>
            <w:r>
              <w:rPr>
                <w:rFonts w:hint="default"/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једињења и јони) типом хемијске везе и међумолекулским интеракцијама.</w:t>
            </w:r>
          </w:p>
        </w:tc>
      </w:tr>
    </w:tbl>
    <w:p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3F38A0"/>
    <w:multiLevelType w:val="multilevel"/>
    <w:tmpl w:val="503F38A0"/>
    <w:lvl w:ilvl="0" w:tentative="0">
      <w:start w:val="18"/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3497C"/>
    <w:rsid w:val="7F63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r-Cyrl-C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autoSpaceDE w:val="0"/>
      <w:autoSpaceDN w:val="0"/>
      <w:adjustRightInd w:val="0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  <w:jc w:val="center"/>
    </w:pPr>
    <w:rPr>
      <w:rFonts w:ascii="Calibri" w:hAnsi="Calibri" w:eastAsia="Calibri"/>
      <w:sz w:val="22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2022-09-09T18:30:00Z</dcterms:created>
  <dc:creator>Skola</dc:creator>
  <cp:lastModifiedBy>Skola</cp:lastModifiedBy>
  <dcterms:modified xsi:type="dcterms:W3CDTF">2022-09-09T18:35:58Z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FB964BAEDA7046288CB4F640D5E3D11D</vt:lpwstr>
  </property>
</Properties>
</file>